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16" w:rsidRDefault="00F4535E" w:rsidP="00294016">
      <w:pPr>
        <w:pStyle w:val="berschriftgro"/>
      </w:pPr>
      <w:r>
        <w:t xml:space="preserve">Berechnung eines </w:t>
      </w:r>
      <w:proofErr w:type="spellStart"/>
      <w:r>
        <w:t>Konfidenzintervalls</w:t>
      </w:r>
      <w:proofErr w:type="spellEnd"/>
      <w:r>
        <w:t xml:space="preserve"> mit </w:t>
      </w:r>
      <w:r w:rsidR="003A7612">
        <w:t xml:space="preserve"> Approximation der Binomialverteilung </w:t>
      </w:r>
    </w:p>
    <w:p w:rsidR="000D0283" w:rsidRDefault="003A7612" w:rsidP="00294016">
      <w:pPr>
        <w:pStyle w:val="berschriftgro"/>
      </w:pPr>
      <w:r>
        <w:t>durch die Normalverteilung</w:t>
      </w:r>
    </w:p>
    <w:p w:rsidR="003A7612" w:rsidRDefault="003A7612"/>
    <w:p w:rsidR="003A7612" w:rsidRDefault="002B4432">
      <w:r>
        <w:t xml:space="preserve">In diesem Dokument ist eine näherungsweise Berechnung des </w:t>
      </w:r>
      <w:proofErr w:type="spellStart"/>
      <w:r>
        <w:t>Konfidenzintervalls</w:t>
      </w:r>
      <w:proofErr w:type="spellEnd"/>
      <w:r>
        <w:t xml:space="preserve"> vorgezeigt. Zur Lösung der </w:t>
      </w:r>
      <w:proofErr w:type="spellStart"/>
      <w:r>
        <w:t>Maturaaufgaben</w:t>
      </w:r>
      <w:proofErr w:type="spellEnd"/>
      <w:r>
        <w:t xml:space="preserve"> reicht es aus.</w:t>
      </w:r>
    </w:p>
    <w:p w:rsidR="002B4432" w:rsidRDefault="002B4432" w:rsidP="004C5FB4">
      <w:pPr>
        <w:spacing w:after="120"/>
        <w:rPr>
          <w:b/>
        </w:rPr>
      </w:pPr>
    </w:p>
    <w:p w:rsidR="004C5FB4" w:rsidRPr="003A7612" w:rsidRDefault="004C5FB4" w:rsidP="004C5FB4">
      <w:pPr>
        <w:spacing w:after="120"/>
        <w:rPr>
          <w:b/>
        </w:rPr>
      </w:pPr>
      <w:r w:rsidRPr="003A7612">
        <w:rPr>
          <w:b/>
        </w:rPr>
        <w:t>Bsp</w:t>
      </w:r>
      <w:r w:rsidR="002B4432">
        <w:rPr>
          <w:b/>
        </w:rPr>
        <w:t>1</w:t>
      </w:r>
      <w:r w:rsidRPr="003A7612">
        <w:rPr>
          <w:b/>
        </w:rPr>
        <w:t>:</w:t>
      </w:r>
    </w:p>
    <w:p w:rsidR="003A7612" w:rsidRDefault="00F4535E">
      <w:r>
        <w:t>Vor einer Wahl wird in einer Meinungsumfrage mit 500 Befragten erhoben, dass 120 die Partei A wählen würden. Gib ein 95%-</w:t>
      </w:r>
      <w:proofErr w:type="spellStart"/>
      <w:r>
        <w:t>Konfidenzintervall</w:t>
      </w:r>
      <w:proofErr w:type="spellEnd"/>
      <w:r>
        <w:t xml:space="preserve"> an, in dem sich der wahre Anteil in der gesamten Wählerschaft befindet</w:t>
      </w:r>
      <w:r w:rsidR="003A7612">
        <w:t>.</w:t>
      </w:r>
    </w:p>
    <w:p w:rsidR="003A7612" w:rsidRDefault="0086524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78105</wp:posOffset>
            </wp:positionV>
            <wp:extent cx="3395345" cy="1416050"/>
            <wp:effectExtent l="1905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404" w:rsidRDefault="00787404"/>
    <w:p w:rsidR="00565D98" w:rsidRDefault="00565D98" w:rsidP="00565D98"/>
    <w:p w:rsidR="0086524D" w:rsidRDefault="0086524D" w:rsidP="00565D98"/>
    <w:p w:rsidR="0086524D" w:rsidRDefault="0086524D" w:rsidP="00565D98"/>
    <w:p w:rsidR="0086524D" w:rsidRDefault="0086524D" w:rsidP="00565D98"/>
    <w:p w:rsidR="0086524D" w:rsidRDefault="0086524D" w:rsidP="00565D98"/>
    <w:p w:rsidR="00F55C14" w:rsidRDefault="00F55C14" w:rsidP="00F55C14">
      <w:pPr>
        <w:spacing w:after="120"/>
      </w:pPr>
    </w:p>
    <w:tbl>
      <w:tblPr>
        <w:tblStyle w:val="Tabellengitternetz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062"/>
      </w:tblGrid>
      <w:tr w:rsidR="008D20C0" w:rsidTr="008D20C0">
        <w:tc>
          <w:tcPr>
            <w:tcW w:w="9062" w:type="dxa"/>
          </w:tcPr>
          <w:p w:rsidR="008D20C0" w:rsidRDefault="0086524D" w:rsidP="002B4432">
            <w:pPr>
              <w:spacing w:before="120" w:after="120"/>
            </w:pPr>
            <w:r>
              <w:t>Definition:</w:t>
            </w:r>
            <w:r w:rsidR="002B4432">
              <w:t xml:space="preserve"> Zur Schätzung eines unbekannten relativen Anteils p eines Merkmals in der Grundgesamtheit wird eine Stichprobe vom Umfang n erhoben. Das </w:t>
            </w:r>
            <w:proofErr w:type="spellStart"/>
            <w:r w:rsidR="002B4432">
              <w:t>Konfidenzintervall</w:t>
            </w:r>
            <w:proofErr w:type="spellEnd"/>
            <w:r w:rsidR="002B4432">
              <w:t xml:space="preserve"> mit der Sicherheit </w:t>
            </w:r>
            <w:r w:rsidR="002B4432" w:rsidRPr="002B4432">
              <w:t>γ</w:t>
            </w:r>
            <w:r w:rsidR="002B4432">
              <w:t xml:space="preserve"> ist jener Bereich, in dem sich p mit einer Wahrscheinlichkeit von </w:t>
            </w:r>
            <w:r w:rsidR="002B4432" w:rsidRPr="002B4432">
              <w:t>γ</w:t>
            </w:r>
            <w:r w:rsidR="002B4432">
              <w:t xml:space="preserve"> befindet.</w:t>
            </w:r>
          </w:p>
        </w:tc>
      </w:tr>
    </w:tbl>
    <w:p w:rsidR="008D20C0" w:rsidRDefault="008D20C0" w:rsidP="00DC5003"/>
    <w:p w:rsidR="0086524D" w:rsidRDefault="002B4432" w:rsidP="00DC5003">
      <w:r>
        <w:t xml:space="preserve">Lösung von Bsp1: Der Punktschätzer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t xml:space="preserve"> wird berechnet durch </w:t>
      </w:r>
      <w:r w:rsidR="0046042F">
        <w:t xml:space="preserve">120/500 = 0,24. Näherungsweise nehmen wir an, dass das </w:t>
      </w:r>
      <w:proofErr w:type="spellStart"/>
      <w:r w:rsidR="0046042F">
        <w:t>Konfidenzintervall</w:t>
      </w:r>
      <w:proofErr w:type="spellEnd"/>
      <w:r w:rsidR="0046042F">
        <w:t xml:space="preserve"> identisch ist mit jenem symmetrischen Bereich, in dem der Anteil einer anderen zufällig ausgewählten Stichprobe mit 95%-</w:t>
      </w:r>
      <w:proofErr w:type="spellStart"/>
      <w:r w:rsidR="0046042F">
        <w:t>iger</w:t>
      </w:r>
      <w:proofErr w:type="spellEnd"/>
      <w:r w:rsidR="0046042F">
        <w:t xml:space="preserve"> Wahrscheinlichkeit liegt. </w:t>
      </w:r>
    </w:p>
    <w:p w:rsidR="0046042F" w:rsidRDefault="0046042F" w:rsidP="00DC5003">
      <m:oMathPara>
        <m:oMath>
          <m:r>
            <w:rPr>
              <w:rFonts w:ascii="Cambria Math" w:hAnsi="Cambria Math"/>
            </w:rPr>
            <m:t>σ=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n∙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120*0,76</m:t>
              </m:r>
            </m:e>
          </m:rad>
          <m:r>
            <w:rPr>
              <w:rFonts w:ascii="Cambria Math" w:hAnsi="Cambria Math"/>
            </w:rPr>
            <m:t>≈9,55</m:t>
          </m:r>
        </m:oMath>
      </m:oMathPara>
    </w:p>
    <w:p w:rsidR="00BF3F1C" w:rsidRPr="00565D98" w:rsidRDefault="00BF3F1C" w:rsidP="00BF3F1C">
      <w:pPr>
        <w:spacing w:after="12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X≤A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1-γ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(symmetrisch, daher sind beide Bereiche außerhalb 2,5%)</w:t>
      </w:r>
    </w:p>
    <w:p w:rsidR="0086524D" w:rsidRDefault="00BF3F1C" w:rsidP="00DC5003">
      <w:proofErr w:type="spellStart"/>
      <w:r>
        <w:t>Normal</w:t>
      </w:r>
      <w:r w:rsidR="00C11000">
        <w:t>c</w:t>
      </w:r>
      <w:r>
        <w:t>df</w:t>
      </w:r>
      <w:proofErr w:type="spellEnd"/>
      <w:r>
        <w:t>(-1e99</w:t>
      </w:r>
      <w:proofErr w:type="gramStart"/>
      <w:r>
        <w:t>,X,120,9.55</w:t>
      </w:r>
      <w:proofErr w:type="gramEnd"/>
      <w:r>
        <w:t xml:space="preserve">) – 0.025 = 0   Lösen mit dem Solver liefert als untere Grenze 101 und aufgrund der Symmetrie als obere Grenze 139.  In Prozenten ausgedrückt  lautet das </w:t>
      </w:r>
      <w:proofErr w:type="spellStart"/>
      <w:r>
        <w:t>Konfidenzintervall</w:t>
      </w:r>
      <w:proofErr w:type="spellEnd"/>
      <w:r>
        <w:t xml:space="preserve"> [0,202; 0,278]</w:t>
      </w:r>
    </w:p>
    <w:p w:rsidR="0086524D" w:rsidRDefault="0086524D" w:rsidP="00DC5003"/>
    <w:p w:rsidR="0086524D" w:rsidRDefault="0086524D" w:rsidP="00DC5003"/>
    <w:p w:rsidR="00C11000" w:rsidRDefault="00C1100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8051E" w:rsidRPr="0088051E" w:rsidRDefault="0088051E" w:rsidP="0088051E">
      <w:pPr>
        <w:spacing w:after="120"/>
        <w:rPr>
          <w:b/>
        </w:rPr>
      </w:pPr>
      <w:r w:rsidRPr="0088051E">
        <w:rPr>
          <w:b/>
        </w:rPr>
        <w:lastRenderedPageBreak/>
        <w:t>Bsp</w:t>
      </w:r>
      <w:r w:rsidR="00AA58BB">
        <w:rPr>
          <w:b/>
        </w:rPr>
        <w:t>2</w:t>
      </w:r>
      <w:r w:rsidRPr="0088051E">
        <w:rPr>
          <w:b/>
        </w:rPr>
        <w:t>:</w:t>
      </w:r>
    </w:p>
    <w:p w:rsidR="0088051E" w:rsidRDefault="0088051E" w:rsidP="0088051E">
      <w:pPr>
        <w:jc w:val="both"/>
        <w:rPr>
          <w:rFonts w:cs="Arial"/>
        </w:rPr>
      </w:pPr>
      <w:r>
        <w:rPr>
          <w:rFonts w:cs="Arial"/>
        </w:rPr>
        <w:t xml:space="preserve">In einer Meinungsumfrage unter 500 zufällig ausgewählten Personen zu Gentechnik in Lebensmitteln lehnen 80% der Befragten diese ab. </w:t>
      </w:r>
      <w:r w:rsidRPr="006A291D">
        <w:rPr>
          <w:rFonts w:cs="Arial"/>
        </w:rPr>
        <w:t>Aufgrund</w:t>
      </w:r>
      <w:r>
        <w:rPr>
          <w:rFonts w:cs="Arial"/>
        </w:rPr>
        <w:t xml:space="preserve"> </w:t>
      </w:r>
      <w:r w:rsidRPr="006A291D">
        <w:rPr>
          <w:rFonts w:cs="Arial"/>
        </w:rPr>
        <w:t xml:space="preserve">dieses Ergebnisses gibt </w:t>
      </w:r>
      <w:r>
        <w:rPr>
          <w:rFonts w:cs="Arial"/>
        </w:rPr>
        <w:t>das</w:t>
      </w:r>
      <w:r w:rsidRPr="006A291D">
        <w:rPr>
          <w:rFonts w:cs="Arial"/>
        </w:rPr>
        <w:t xml:space="preserve"> Meinungsforschungsinstitut an, dass </w:t>
      </w:r>
      <w:r>
        <w:rPr>
          <w:rFonts w:cs="Arial"/>
        </w:rPr>
        <w:t>der Anteil der Personen, die Gentechnik in Lebens</w:t>
      </w:r>
      <w:r>
        <w:rPr>
          <w:rFonts w:cs="Arial"/>
        </w:rPr>
        <w:softHyphen/>
        <w:t>mitteln ablehnen, zwischen 76% und 84% liegt</w:t>
      </w:r>
      <w:r w:rsidRPr="006A291D">
        <w:rPr>
          <w:rFonts w:cs="Arial"/>
        </w:rPr>
        <w:t>.</w:t>
      </w:r>
    </w:p>
    <w:p w:rsidR="0088051E" w:rsidRDefault="0088051E" w:rsidP="0088051E">
      <w:pPr>
        <w:jc w:val="both"/>
        <w:rPr>
          <w:rFonts w:cs="Arial"/>
        </w:rPr>
      </w:pPr>
      <w:r w:rsidRPr="0088051E">
        <w:rPr>
          <w:rFonts w:cs="Arial"/>
        </w:rPr>
        <w:t>Mit welcher Sicherheit kann diese Behauptung aufgestellt werden?</w:t>
      </w:r>
      <w:r>
        <w:rPr>
          <w:rFonts w:cs="Arial"/>
        </w:rPr>
        <w:t xml:space="preserve"> </w:t>
      </w:r>
    </w:p>
    <w:p w:rsidR="0088051E" w:rsidRPr="0088051E" w:rsidRDefault="0088051E" w:rsidP="0088051E">
      <w:pPr>
        <w:jc w:val="both"/>
        <w:rPr>
          <w:rFonts w:cs="Arial"/>
        </w:rPr>
      </w:pPr>
      <w:r>
        <w:rPr>
          <w:rFonts w:cs="Arial"/>
        </w:rPr>
        <w:t>D.h. mit welcher Wahrscheinlichkeit liegt die Anzahl der Befragten die die Gentechnik ab</w:t>
      </w:r>
      <w:r w:rsidR="00220625">
        <w:rPr>
          <w:rFonts w:cs="Arial"/>
        </w:rPr>
        <w:softHyphen/>
      </w:r>
      <w:r>
        <w:rPr>
          <w:rFonts w:cs="Arial"/>
        </w:rPr>
        <w:t xml:space="preserve">lehnen im vom </w:t>
      </w:r>
      <w:r w:rsidRPr="006A291D">
        <w:rPr>
          <w:rFonts w:cs="Arial"/>
        </w:rPr>
        <w:t>Meinungsforschungsinstitut</w:t>
      </w:r>
      <w:r>
        <w:rPr>
          <w:rFonts w:cs="Arial"/>
        </w:rPr>
        <w:t xml:space="preserve"> angegebenen Konfidenzintervall?</w:t>
      </w:r>
    </w:p>
    <w:p w:rsidR="0088051E" w:rsidRDefault="0088051E" w:rsidP="0088051E">
      <w:pPr>
        <w:jc w:val="both"/>
        <w:rPr>
          <w:rFonts w:cs="Arial"/>
        </w:rPr>
      </w:pPr>
    </w:p>
    <w:p w:rsidR="0088051E" w:rsidRPr="0088051E" w:rsidRDefault="0088051E" w:rsidP="0088051E">
      <w:pPr>
        <w:jc w:val="both"/>
        <w:rPr>
          <w:rFonts w:cs="Arial"/>
        </w:rPr>
      </w:pPr>
    </w:p>
    <w:p w:rsidR="0088051E" w:rsidRPr="0088051E" w:rsidRDefault="0088051E" w:rsidP="0088051E">
      <w:pPr>
        <w:jc w:val="both"/>
        <w:rPr>
          <w:rFonts w:cs="Arial"/>
          <w:color w:val="0000FF"/>
        </w:rPr>
      </w:pPr>
      <w:r w:rsidRPr="0088051E">
        <w:rPr>
          <w:rFonts w:cs="Arial"/>
          <w:color w:val="0000FF"/>
        </w:rPr>
        <w:t>Berechnung der Überdeckungswahrscheinlichkeit mit der Binomialverteilung:</w:t>
      </w:r>
    </w:p>
    <w:p w:rsidR="0088051E" w:rsidRPr="00110B5D" w:rsidRDefault="0088051E" w:rsidP="0088051E">
      <w:pPr>
        <w:jc w:val="both"/>
        <w:rPr>
          <w:rFonts w:cs="Arial"/>
        </w:rPr>
      </w:pPr>
    </w:p>
    <w:p w:rsidR="0088051E" w:rsidRPr="000C0E63" w:rsidRDefault="0088051E" w:rsidP="0088051E">
      <w:pPr>
        <w:tabs>
          <w:tab w:val="left" w:pos="2552"/>
          <w:tab w:val="left" w:pos="5387"/>
        </w:tabs>
        <w:jc w:val="both"/>
      </w:pPr>
      <m:oMath>
        <m:r>
          <w:rPr>
            <w:rFonts w:ascii="Cambria Math" w:hAnsi="Cambria Math"/>
          </w:rPr>
          <m:t>0,76∙500=380</m:t>
        </m:r>
      </m:oMath>
      <w:r>
        <w:tab/>
      </w:r>
      <m:oMath>
        <m:r>
          <w:rPr>
            <w:rFonts w:ascii="Cambria Math" w:hAnsi="Cambria Math"/>
          </w:rPr>
          <m:t>0,84∙500=420</m:t>
        </m:r>
      </m:oMath>
      <w:r>
        <w:t xml:space="preserve">  </w:t>
      </w:r>
      <w:r>
        <w:tab/>
      </w:r>
    </w:p>
    <w:p w:rsidR="0088051E" w:rsidRPr="000C0E63" w:rsidRDefault="0088051E" w:rsidP="0088051E">
      <w:pPr>
        <w:tabs>
          <w:tab w:val="left" w:pos="2552"/>
          <w:tab w:val="left" w:pos="5387"/>
        </w:tabs>
        <w:jc w:val="both"/>
      </w:pPr>
    </w:p>
    <w:p w:rsidR="0088051E" w:rsidRDefault="0088051E" w:rsidP="0088051E">
      <w:pPr>
        <w:tabs>
          <w:tab w:val="left" w:pos="2552"/>
          <w:tab w:val="left" w:pos="5387"/>
        </w:tabs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binomcdf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50</m:t>
              </m:r>
              <m:r>
                <w:rPr>
                  <w:rFonts w:ascii="Cambria Math" w:hAnsi="Cambria Math"/>
                </w:rPr>
                <m:t>0;0,8;</m:t>
              </m:r>
              <m:r>
                <w:rPr>
                  <w:rFonts w:ascii="Cambria Math" w:hAnsi="Cambria Math"/>
                </w:rPr>
                <m:t>420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binomcdf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500;0,8;</m:t>
              </m:r>
              <m:r>
                <w:rPr>
                  <w:rFonts w:ascii="Cambria Math" w:hAnsi="Cambria Math"/>
                </w:rPr>
                <m:t>379</m:t>
              </m:r>
            </m:e>
          </m:d>
        </m:oMath>
      </m:oMathPara>
    </w:p>
    <w:p w:rsidR="0088051E" w:rsidRDefault="0088051E" w:rsidP="0088051E">
      <w:pPr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=0,97824</m:t>
          </m:r>
        </m:oMath>
      </m:oMathPara>
    </w:p>
    <w:p w:rsidR="0088051E" w:rsidRDefault="0088051E" w:rsidP="0088051E">
      <w:pPr>
        <w:jc w:val="both"/>
        <w:rPr>
          <w:rFonts w:cs="Arial"/>
        </w:rPr>
      </w:pPr>
      <w:r>
        <w:t xml:space="preserve">Mit einer Wahrscheinlichkeit von 97,8% kann gesagt werden, dass </w:t>
      </w:r>
      <w:r>
        <w:rPr>
          <w:rFonts w:cs="Arial"/>
        </w:rPr>
        <w:t>der Anteil der Personen, die Gentechnik in Lebens</w:t>
      </w:r>
      <w:r>
        <w:rPr>
          <w:rFonts w:cs="Arial"/>
        </w:rPr>
        <w:softHyphen/>
        <w:t>mitteln ablehnen, zwischen 76% und 84% liegt</w:t>
      </w:r>
      <w:r>
        <w:t>.</w:t>
      </w:r>
    </w:p>
    <w:p w:rsidR="0088051E" w:rsidRDefault="0088051E" w:rsidP="00072A8F">
      <w:pPr>
        <w:spacing w:after="120"/>
        <w:jc w:val="both"/>
        <w:rPr>
          <w:rFonts w:cs="Arial"/>
        </w:rPr>
      </w:pPr>
    </w:p>
    <w:p w:rsidR="0088051E" w:rsidRDefault="0088051E" w:rsidP="00BB1D92">
      <w:pPr>
        <w:rPr>
          <w:rFonts w:cs="Arial"/>
          <w:color w:val="0000FF"/>
        </w:rPr>
      </w:pPr>
      <w:r w:rsidRPr="0088051E">
        <w:rPr>
          <w:rFonts w:cs="Arial"/>
          <w:color w:val="0000FF"/>
        </w:rPr>
        <w:t xml:space="preserve">Berechnung der Überdeckungswahrscheinlichkeit mit der </w:t>
      </w:r>
      <w:r>
        <w:rPr>
          <w:rFonts w:cs="Arial"/>
          <w:color w:val="0000FF"/>
        </w:rPr>
        <w:t>Normal</w:t>
      </w:r>
      <w:r w:rsidRPr="0088051E">
        <w:rPr>
          <w:rFonts w:cs="Arial"/>
          <w:color w:val="0000FF"/>
        </w:rPr>
        <w:t>verteilung:</w:t>
      </w:r>
    </w:p>
    <w:p w:rsidR="0088051E" w:rsidRDefault="0088051E" w:rsidP="00126407">
      <w:pPr>
        <w:rPr>
          <w:rFonts w:cs="Arial"/>
          <w:color w:val="0000FF"/>
        </w:rPr>
      </w:pPr>
    </w:p>
    <w:p w:rsidR="0088051E" w:rsidRPr="00D859C5" w:rsidRDefault="0088051E" w:rsidP="00126407">
      <m:oMathPara>
        <m:oMath>
          <m:r>
            <w:rPr>
              <w:rFonts w:ascii="Cambria Math" w:hAnsi="Cambria Math"/>
            </w:rPr>
            <m:t>μ=n∙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=500∙0,8=400          σ=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n∙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80</m:t>
              </m:r>
            </m:e>
          </m:rad>
          <m:r>
            <w:rPr>
              <w:rFonts w:ascii="Cambria Math" w:hAnsi="Cambria Math"/>
            </w:rPr>
            <m:t>≈8,944</m:t>
          </m:r>
        </m:oMath>
      </m:oMathPara>
    </w:p>
    <w:p w:rsidR="00D859C5" w:rsidRDefault="00D859C5" w:rsidP="00126407"/>
    <w:p w:rsidR="00D859C5" w:rsidRDefault="00D859C5" w:rsidP="00BB1D92">
      <m:oMath>
        <m:r>
          <w:rPr>
            <w:rFonts w:ascii="Cambria Math" w:hAnsi="Cambria Math"/>
          </w:rPr>
          <m:t>0,76∙500=380</m:t>
        </m:r>
      </m:oMath>
      <w:r>
        <w:tab/>
      </w:r>
      <m:oMath>
        <m:r>
          <w:rPr>
            <w:rFonts w:ascii="Cambria Math" w:hAnsi="Cambria Math"/>
          </w:rPr>
          <m:t>0,84∙500=420</m:t>
        </m:r>
      </m:oMath>
    </w:p>
    <w:p w:rsidR="00D859C5" w:rsidRDefault="00D859C5" w:rsidP="00BB1D92">
      <w:r>
        <w:t xml:space="preserve"> </w:t>
      </w:r>
    </w:p>
    <w:p w:rsidR="00C11000" w:rsidRPr="00C11000" w:rsidRDefault="00D859C5" w:rsidP="00C11000">
      <w:pPr>
        <w:tabs>
          <w:tab w:val="left" w:pos="2552"/>
          <w:tab w:val="left" w:pos="5387"/>
        </w:tabs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normalcdf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</m:t>
              </m:r>
              <m:r>
                <w:rPr>
                  <w:rFonts w:ascii="Cambria Math" w:hAnsi="Cambria Math"/>
                </w:rPr>
                <m:t>;4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0;</m:t>
              </m:r>
              <m:r>
                <w:rPr>
                  <w:rFonts w:ascii="Cambria Math" w:hAnsi="Cambria Math"/>
                </w:rPr>
                <m:t>400;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80</m:t>
                  </m:r>
                </m:e>
              </m:rad>
            </m:e>
          </m:d>
        </m:oMath>
      </m:oMathPara>
    </w:p>
    <w:p w:rsidR="00D859C5" w:rsidRDefault="00D859C5" w:rsidP="00C11000">
      <w:pPr>
        <w:tabs>
          <w:tab w:val="left" w:pos="2552"/>
          <w:tab w:val="left" w:pos="5387"/>
        </w:tabs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≈0,97465</m:t>
          </m:r>
        </m:oMath>
      </m:oMathPara>
    </w:p>
    <w:p w:rsidR="00D859C5" w:rsidRDefault="00D859C5" w:rsidP="00D50459">
      <w:pPr>
        <w:jc w:val="both"/>
        <w:rPr>
          <w:rFonts w:cs="Arial"/>
        </w:rPr>
      </w:pPr>
      <w:r>
        <w:t xml:space="preserve">Mit einer Wahrscheinlichkeit von 97,5% kann gesagt werden, dass </w:t>
      </w:r>
      <w:r>
        <w:rPr>
          <w:rFonts w:cs="Arial"/>
        </w:rPr>
        <w:t>der Anteil der Personen, die Gentechnik in Lebens</w:t>
      </w:r>
      <w:r>
        <w:rPr>
          <w:rFonts w:cs="Arial"/>
        </w:rPr>
        <w:softHyphen/>
        <w:t>mitteln ablehnen, zwischen 76% und 84% liegt</w:t>
      </w:r>
      <w:r>
        <w:t>.</w:t>
      </w:r>
    </w:p>
    <w:p w:rsidR="00D859C5" w:rsidRDefault="00D859C5" w:rsidP="00D50459"/>
    <w:p w:rsidR="00C11000" w:rsidRDefault="00C11000">
      <w:pPr>
        <w:spacing w:after="160" w:line="259" w:lineRule="auto"/>
        <w:rPr>
          <w:b/>
        </w:rPr>
      </w:pPr>
    </w:p>
    <w:p w:rsidR="008857D2" w:rsidRPr="00C11000" w:rsidRDefault="00C11000" w:rsidP="00C11000">
      <w:pPr>
        <w:spacing w:after="160" w:line="259" w:lineRule="auto"/>
        <w:rPr>
          <w:b/>
        </w:rPr>
      </w:pPr>
      <w:r>
        <w:rPr>
          <w:b/>
        </w:rPr>
        <w:t>Die Berechnung mit der Normalverteilung ist ungenauer!</w:t>
      </w:r>
    </w:p>
    <w:sectPr w:rsidR="008857D2" w:rsidRPr="00C11000" w:rsidSect="00AF26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267"/>
    <w:multiLevelType w:val="hybridMultilevel"/>
    <w:tmpl w:val="D4C4F732"/>
    <w:lvl w:ilvl="0" w:tplc="A24A71D8">
      <w:start w:val="1"/>
      <w:numFmt w:val="lowerLetter"/>
      <w:lvlText w:val="%1)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3849"/>
    <w:multiLevelType w:val="hybridMultilevel"/>
    <w:tmpl w:val="6DEC8276"/>
    <w:lvl w:ilvl="0" w:tplc="D42C34A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3A7612"/>
    <w:rsid w:val="00023708"/>
    <w:rsid w:val="00040DAE"/>
    <w:rsid w:val="00072A8F"/>
    <w:rsid w:val="000A4651"/>
    <w:rsid w:val="000D0283"/>
    <w:rsid w:val="00126407"/>
    <w:rsid w:val="001960E0"/>
    <w:rsid w:val="001F059E"/>
    <w:rsid w:val="00220625"/>
    <w:rsid w:val="00230DAB"/>
    <w:rsid w:val="00294016"/>
    <w:rsid w:val="002B4432"/>
    <w:rsid w:val="002B7473"/>
    <w:rsid w:val="002C76E5"/>
    <w:rsid w:val="00337B46"/>
    <w:rsid w:val="003A7612"/>
    <w:rsid w:val="00417EFF"/>
    <w:rsid w:val="0046042F"/>
    <w:rsid w:val="0047133A"/>
    <w:rsid w:val="004C5FB4"/>
    <w:rsid w:val="004F5085"/>
    <w:rsid w:val="0053708A"/>
    <w:rsid w:val="00565D98"/>
    <w:rsid w:val="0063612C"/>
    <w:rsid w:val="00651409"/>
    <w:rsid w:val="00776151"/>
    <w:rsid w:val="00787404"/>
    <w:rsid w:val="00840D29"/>
    <w:rsid w:val="0086524D"/>
    <w:rsid w:val="00873215"/>
    <w:rsid w:val="00873D6D"/>
    <w:rsid w:val="0088051E"/>
    <w:rsid w:val="008857D2"/>
    <w:rsid w:val="008D20C0"/>
    <w:rsid w:val="009615B7"/>
    <w:rsid w:val="009A5868"/>
    <w:rsid w:val="009B7CAC"/>
    <w:rsid w:val="009D5F9C"/>
    <w:rsid w:val="00A83756"/>
    <w:rsid w:val="00AA58BB"/>
    <w:rsid w:val="00AD0629"/>
    <w:rsid w:val="00AF2609"/>
    <w:rsid w:val="00B33978"/>
    <w:rsid w:val="00BB1D92"/>
    <w:rsid w:val="00BD03F7"/>
    <w:rsid w:val="00BE3820"/>
    <w:rsid w:val="00BF1C1F"/>
    <w:rsid w:val="00BF3F1C"/>
    <w:rsid w:val="00C11000"/>
    <w:rsid w:val="00C246CB"/>
    <w:rsid w:val="00C910A0"/>
    <w:rsid w:val="00CA5AD6"/>
    <w:rsid w:val="00D50459"/>
    <w:rsid w:val="00D7371E"/>
    <w:rsid w:val="00D859C5"/>
    <w:rsid w:val="00DC5003"/>
    <w:rsid w:val="00E12356"/>
    <w:rsid w:val="00E14272"/>
    <w:rsid w:val="00E45E3F"/>
    <w:rsid w:val="00EC3420"/>
    <w:rsid w:val="00ED10CC"/>
    <w:rsid w:val="00F4535E"/>
    <w:rsid w:val="00F55C14"/>
    <w:rsid w:val="00FA0053"/>
  </w:rsids>
  <m:mathPr>
    <m:mathFont m:val="Cambria Math"/>
    <m:brkBin m:val="before"/>
    <m:brkBinSub m:val="--"/>
    <m:smallFrac m:val="off"/>
    <m:dispDef/>
    <m:lMargin m:val="0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7EFF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gro">
    <w:name w:val="Überschrift groß"/>
    <w:basedOn w:val="Standard"/>
    <w:link w:val="berschriftgroZchn"/>
    <w:qFormat/>
    <w:rsid w:val="00417EFF"/>
    <w:pPr>
      <w:pBdr>
        <w:bottom w:val="thinThickLargeGap" w:sz="24" w:space="1" w:color="C00000"/>
      </w:pBdr>
      <w:jc w:val="center"/>
    </w:pPr>
    <w:rPr>
      <w:rFonts w:cstheme="minorBidi"/>
      <w:color w:val="0000FF"/>
      <w:sz w:val="40"/>
      <w:szCs w:val="40"/>
      <w:lang w:val="de-AT"/>
    </w:rPr>
  </w:style>
  <w:style w:type="character" w:customStyle="1" w:styleId="berschriftgroZchn">
    <w:name w:val="Überschrift groß Zchn"/>
    <w:basedOn w:val="Absatz-Standardschriftart"/>
    <w:link w:val="berschriftgro"/>
    <w:rsid w:val="00417EFF"/>
    <w:rPr>
      <w:color w:val="0000FF"/>
      <w:sz w:val="40"/>
      <w:szCs w:val="40"/>
      <w:lang w:eastAsia="de-DE"/>
    </w:rPr>
  </w:style>
  <w:style w:type="paragraph" w:customStyle="1" w:styleId="berschriftnormal">
    <w:name w:val="Überschrift normal"/>
    <w:basedOn w:val="Standard"/>
    <w:link w:val="berschriftnormalZchn"/>
    <w:qFormat/>
    <w:rsid w:val="00417EFF"/>
    <w:pPr>
      <w:pBdr>
        <w:bottom w:val="single" w:sz="4" w:space="1" w:color="C00000"/>
      </w:pBdr>
    </w:pPr>
    <w:rPr>
      <w:rFonts w:cstheme="minorBidi"/>
      <w:color w:val="0000FF"/>
      <w:sz w:val="32"/>
      <w:szCs w:val="32"/>
      <w:lang w:val="de-AT"/>
    </w:rPr>
  </w:style>
  <w:style w:type="character" w:customStyle="1" w:styleId="berschriftnormalZchn">
    <w:name w:val="Überschrift normal Zchn"/>
    <w:basedOn w:val="Absatz-Standardschriftart"/>
    <w:link w:val="berschriftnormal"/>
    <w:rsid w:val="00417EFF"/>
    <w:rPr>
      <w:color w:val="0000FF"/>
      <w:sz w:val="32"/>
      <w:szCs w:val="32"/>
      <w:lang w:eastAsia="de-DE"/>
    </w:rPr>
  </w:style>
  <w:style w:type="paragraph" w:customStyle="1" w:styleId="Formatvorlage1">
    <w:name w:val="Formatvorlage1"/>
    <w:basedOn w:val="Kopfzeile"/>
    <w:link w:val="Formatvorlage1Zchn"/>
    <w:qFormat/>
    <w:rsid w:val="000A4651"/>
    <w:rPr>
      <w:szCs w:val="20"/>
    </w:rPr>
  </w:style>
  <w:style w:type="character" w:customStyle="1" w:styleId="Formatvorlage1Zchn">
    <w:name w:val="Formatvorlage1 Zchn"/>
    <w:basedOn w:val="KopfzeileZchn"/>
    <w:link w:val="Formatvorlage1"/>
    <w:rsid w:val="000A4651"/>
    <w:rPr>
      <w:rFonts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A4651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A4651"/>
    <w:rPr>
      <w:rFonts w:cs="Times New Roman"/>
      <w:sz w:val="20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A7612"/>
    <w:rPr>
      <w:color w:val="808080"/>
    </w:rPr>
  </w:style>
  <w:style w:type="table" w:styleId="Tabellengitternetz">
    <w:name w:val="Table Grid"/>
    <w:basedOn w:val="NormaleTabelle"/>
    <w:rsid w:val="0004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rvorhebung4">
    <w:name w:val="Hervorhebung 4"/>
    <w:basedOn w:val="Absatz-Standardschriftart"/>
    <w:uiPriority w:val="1"/>
    <w:qFormat/>
    <w:rsid w:val="0063612C"/>
    <w:rPr>
      <w:rFonts w:asciiTheme="minorHAnsi" w:hAnsiTheme="minorHAnsi"/>
      <w:b/>
      <w:color w:val="FF0000"/>
      <w:sz w:val="24"/>
    </w:rPr>
  </w:style>
  <w:style w:type="paragraph" w:styleId="Textkrper">
    <w:name w:val="Body Text"/>
    <w:basedOn w:val="Standard"/>
    <w:link w:val="TextkrperZchn"/>
    <w:rsid w:val="0063612C"/>
    <w:pPr>
      <w:jc w:val="both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63612C"/>
    <w:rPr>
      <w:rFonts w:ascii="Times New Roman" w:hAnsi="Times New Roman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88051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xtblackbold111">
    <w:name w:val="textblackbold111"/>
    <w:basedOn w:val="Absatz-Standardschriftart"/>
    <w:rsid w:val="00873D6D"/>
    <w:rPr>
      <w:rFonts w:ascii="Verdana" w:hAnsi="Verdana" w:hint="default"/>
      <w:b/>
      <w:bCs/>
      <w:color w:val="000000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51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7EFF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gro">
    <w:name w:val="Überschrift groß"/>
    <w:basedOn w:val="Standard"/>
    <w:link w:val="berschriftgroZchn"/>
    <w:qFormat/>
    <w:rsid w:val="00417EFF"/>
    <w:pPr>
      <w:pBdr>
        <w:bottom w:val="thinThickLargeGap" w:sz="24" w:space="1" w:color="C00000"/>
      </w:pBdr>
      <w:jc w:val="center"/>
    </w:pPr>
    <w:rPr>
      <w:rFonts w:cstheme="minorBidi"/>
      <w:color w:val="0000FF"/>
      <w:sz w:val="40"/>
      <w:szCs w:val="40"/>
      <w:lang w:val="de-AT"/>
    </w:rPr>
  </w:style>
  <w:style w:type="character" w:customStyle="1" w:styleId="berschriftgroZchn">
    <w:name w:val="Überschrift groß Zchn"/>
    <w:basedOn w:val="Absatz-Standardschriftart"/>
    <w:link w:val="berschriftgro"/>
    <w:rsid w:val="00417EFF"/>
    <w:rPr>
      <w:color w:val="0000FF"/>
      <w:sz w:val="40"/>
      <w:szCs w:val="40"/>
      <w:lang w:eastAsia="de-DE"/>
    </w:rPr>
  </w:style>
  <w:style w:type="paragraph" w:customStyle="1" w:styleId="berschriftnormal">
    <w:name w:val="Überschrift normal"/>
    <w:basedOn w:val="Standard"/>
    <w:link w:val="berschriftnormalZchn"/>
    <w:qFormat/>
    <w:rsid w:val="00417EFF"/>
    <w:pPr>
      <w:pBdr>
        <w:bottom w:val="single" w:sz="4" w:space="1" w:color="C00000"/>
      </w:pBdr>
    </w:pPr>
    <w:rPr>
      <w:rFonts w:cstheme="minorBidi"/>
      <w:color w:val="0000FF"/>
      <w:sz w:val="32"/>
      <w:szCs w:val="32"/>
      <w:lang w:val="de-AT"/>
    </w:rPr>
  </w:style>
  <w:style w:type="character" w:customStyle="1" w:styleId="berschriftnormalZchn">
    <w:name w:val="Überschrift normal Zchn"/>
    <w:basedOn w:val="Absatz-Standardschriftart"/>
    <w:link w:val="berschriftnormal"/>
    <w:rsid w:val="00417EFF"/>
    <w:rPr>
      <w:color w:val="0000FF"/>
      <w:sz w:val="32"/>
      <w:szCs w:val="32"/>
      <w:lang w:eastAsia="de-DE"/>
    </w:rPr>
  </w:style>
  <w:style w:type="paragraph" w:customStyle="1" w:styleId="Formatvorlage1">
    <w:name w:val="Formatvorlage1"/>
    <w:basedOn w:val="Kopfzeile"/>
    <w:link w:val="Formatvorlage1Zchn"/>
    <w:qFormat/>
    <w:rsid w:val="000A4651"/>
    <w:rPr>
      <w:szCs w:val="20"/>
    </w:rPr>
  </w:style>
  <w:style w:type="character" w:customStyle="1" w:styleId="Formatvorlage1Zchn">
    <w:name w:val="Formatvorlage1 Zchn"/>
    <w:basedOn w:val="KopfzeileZchn"/>
    <w:link w:val="Formatvorlage1"/>
    <w:rsid w:val="000A4651"/>
    <w:rPr>
      <w:rFonts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A4651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A4651"/>
    <w:rPr>
      <w:rFonts w:cs="Times New Roman"/>
      <w:sz w:val="20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A7612"/>
    <w:rPr>
      <w:color w:val="808080"/>
    </w:rPr>
  </w:style>
  <w:style w:type="table" w:styleId="Tabellenraster">
    <w:name w:val="Table Grid"/>
    <w:basedOn w:val="NormaleTabelle"/>
    <w:rsid w:val="0004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vorhebung4">
    <w:name w:val="Hervorhebung 4"/>
    <w:basedOn w:val="Absatz-Standardschriftart"/>
    <w:uiPriority w:val="1"/>
    <w:qFormat/>
    <w:rsid w:val="0063612C"/>
    <w:rPr>
      <w:rFonts w:asciiTheme="minorHAnsi" w:hAnsiTheme="minorHAnsi"/>
      <w:b/>
      <w:color w:val="FF0000"/>
      <w:sz w:val="24"/>
    </w:rPr>
  </w:style>
  <w:style w:type="paragraph" w:styleId="Textkrper">
    <w:name w:val="Body Text"/>
    <w:basedOn w:val="Standard"/>
    <w:link w:val="TextkrperZchn"/>
    <w:rsid w:val="0063612C"/>
    <w:pPr>
      <w:jc w:val="both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63612C"/>
    <w:rPr>
      <w:rFonts w:ascii="Times New Roman" w:hAnsi="Times New Roman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88051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xtblackbold111">
    <w:name w:val="textblackbold111"/>
    <w:basedOn w:val="Absatz-Standardschriftart"/>
    <w:rsid w:val="00873D6D"/>
    <w:rPr>
      <w:rFonts w:ascii="Verdana" w:hAnsi="Verdana" w:hint="default"/>
      <w:b/>
      <w:bCs/>
      <w:color w:val="000000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5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aimund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RaimundHermann</dc:creator>
  <cp:keywords/>
  <dc:description/>
  <cp:lastModifiedBy>sere</cp:lastModifiedBy>
  <cp:revision>29</cp:revision>
  <dcterms:created xsi:type="dcterms:W3CDTF">2014-10-03T17:19:00Z</dcterms:created>
  <dcterms:modified xsi:type="dcterms:W3CDTF">2015-01-26T21:11:00Z</dcterms:modified>
</cp:coreProperties>
</file>